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015. “智慧养老，子女放心”——子女对家庭智能养老服务支付意愿与信任研究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研究对象：30—55 岁、有老人照护责任的子女。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核心问题/变量：照护压力、远程监护需求、服务信任、数据隐私、支付意愿。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H1：照护压力、远程监护需求显著影响支付意愿。（待验证）；H2：不同人群（年龄/收入/城市等级）在上述关系中存在调节作用（待验证）。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S6，银发经济报告；S4，康复护理扩容提升政策。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老人需求+子女决策双主体问卷。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S6，银发经济报告；S4，康复护理扩容提升政策。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