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188. “银发电竞，不服老”——老年人电竞参与动机与数字文体消费研究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建议地区：杭州（可按省/市细化抽样框）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研究对象：60+对电子游戏/电竞感兴趣的老年人及其家属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核心问题/变量：参与动机（圆梦/社交/防衰）、游戏类型偏好、培训需求、家庭支持、消费意愿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H1：参与动机（圆梦/社交/防衰）、游戏类型偏好显著影响消费意愿（待验证）；H2：不同人群（年龄/收入/城市等级）在上述关系中存在调节作用（待验证）。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都BSG银龄战队平均年龄65岁、主玩《英雄联盟》、首届亚洲老年电竞杯计划成都举行；✅杭州滨江"银发电竞班"招募3天近150名老人报名、学员平均超55岁、冠军队伍平均61岁；✅杭州银龄战队参加第二届亚奥电子体育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银发电竞班/社区活动中心渠道；议题独特吸睛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成都BSG银龄战队平均年龄65岁、主玩《英雄联盟》、首届亚洲老年电竞杯计划成都举行；✅杭州滨江"银发电竞班"招募3天近150名老人报名、学员平均超55岁、冠军队伍平均61岁；✅杭州银龄战队参加第二届亚奥电子体育周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