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189. “康养旅居，候鸟人生”——银发康养旅居目的地偏好与支付意愿调查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建议地区：沈阳（可按省/市细化抽样框）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研究对象：60+老人及子女（参与或关注康养旅居）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核心问题/变量：旅居动机（气候/康养/文化）、目的地偏好（森林/温泉/海岛）、时长与预算、信息渠道、满意度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H1：旅居动机（气候/康养/文化）、目的地偏好（森林/温泉/海岛）显著影响满意度（待验证）；H2：不同人群（年龄/收入/城市等级）在上述关系中存在调节作用（待验证）。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✅康养旅居消费超2万亿元、占银发经济近20%、年增15%—20%（高于传统旅游）；✅黑龙江铁力森林旅居康养、广东江门五天四夜康养路线、沈阳"盛情康养"平台落地25城；✅各地打造"适老型旅游场景"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康养旅居机构/旅行社银发团渠道；与89题（银发旅游）区分：聚焦长期旅居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✅康养旅居消费超2万亿元、占银发经济近20%、年增15%—20%（高于传统旅游）；✅黑龙江铁力森林旅居康养、广东江门五天四夜康养路线、沈阳"盛情康养"平台落地25城；✅各地打造"适老型旅游场景"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