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237. “夕阳写真，留住年华”——中老年婚恋平台的再婚意愿与信任顾虑调查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研究对象：60+丧偶/离异老人及其子女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核心问题/变量：再婚意愿、婚介平台接触、信任顾虑（婚托/收费陷阱）、服务需求、权益保护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H1：再婚意愿、婚介平台接触（权益保护）之间存在可检验的关系，且受群体差异（年龄/收入/地区/身份）调节（待验证）；H2：再婚意愿、婚介平台接触是影响权益保护的关键因素（待验证）。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✅超8成丧偶老人有再婚意愿；✅2025年婚恋服务市场规模突破千亿元、实体婚介约占四成、年复合增速超12%（🔶行业数据）；🔶银发相亲防骗提示（媒体）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相亲角现场+社区老年活动中心；与187题（再就业）区分：聚焦婚恋服务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✅超8成丧偶老人有再婚意愿；✅2025年婚恋服务市场规模突破千亿元、实体婚介约占四成、年复合增速超12%（🔶行业数据）；🔶银发相亲防骗提示（媒体）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