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240. “银发手机，大屏大字”——适老化手机的使用痛点与功能需求研究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建议地区：西安（可按省/市细化抽样框）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研究对象：60+老人及为其购机的子女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核心问题/变量：使用痛点（字号/操作/诈骗）、适老化功能期望（大字体/一键拨号/远程协助）、品牌选择、价格接受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H1：使用痛点（字号/操作/诈骗）、适老化功能期望（大字体/一键拨号/远程协助）显著影响价格接受（待验证）；H2：不同人群（年龄/收入/城市等级）在上述关系中存在调节作用（待验证）。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✅82.9%中老年网民互联网使用存在障碍（70+为87.9%，第二批已核验）；✅工信部适老化无障碍改造（工信部政策）；✅银发经济10万亿大盘（2026年）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手机卖场适老专区/社区渠道；与13题（适老空间）、97题（AI眼镜）区分：聚焦数字终端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✅82.9%中老年网民互联网使用存在障碍（70+为87.9%，第二批已核验）；✅工信部适老化无障碍改造（工信部政策）；✅银发经济10万亿大盘（2026年）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