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244. “子女代买单，银发钱包”——年轻人先用后付消费的额度依赖与还款压力感知研究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确定行业：01_银发经济（选择理由：贴合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研究对象：18—35岁使用花呗/白条/先用后付的用户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核心问题/变量：使用频次、消费用途、额度依赖、还款压力感知、理性消费观、逾期经历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H1：使用频次、消费用途显著影响逾期经历（待验证）；H2：不同人群（年龄/收入/城市等级）在上述关系中存在调节作用（待验证）。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🔶信用支付渗透率（蚂蚁/京东平台数据需核验）；✅小额贷款行业：2025年末全国小贷余额8942亿元、头部10%机构占65%份额、平均不良率2.8%（行业背景）；✅消费金融监管趋严（金融监管总局政策背景）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校园+职场青年线上问卷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🔶信用支付渗透率（蚂蚁/京东平台数据需核验）；✅小额贷款行业：2025年末全国小贷余额8942亿元、头部10%机构占65%份额、平均不良率2.8%（行业背景）；✅消费金融监管趋严（金融监管总局政策背景）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