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245. “养老金融，银发理财”——中老年人群养老金融产品（储蓄、保险、信托）消费意愿研究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建议地区：上海（可按省/市细化抽样框）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确定行业：01_银发经济（选择理由：贴合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研究对象：45—70岁有储蓄理财习惯人群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核心问题/变量：养老金融认知、风险偏好、产品偏好（低风险储蓄/保险）、"以房养老"/信托接受度、防骗意识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H1：养老金融认知、风险偏好（防骗意识）之间存在可检验的关系，且受群体差异（年龄/收入/地区/身份）调节（待验证）；H2：养老金融认知、风险偏好是影响防骗意识的关键因素（待验证）。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✅上海金融监管局等4部门2026年6月《关于创新开展养老服务信托试点的通知》、养老服务信托创新试点启动（山东省发改委）；✅个人养老金产品池扩容；✅银发经济2026年预计10.8万亿元（央广网）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银行理财渠道+社区老年群体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✅上海金融监管局等4部门2026年6月《关于创新开展养老服务信托试点的通知》、养老服务信托创新试点启动（山东省发改委）；✅个人养老金产品池扩容；✅银发经济2026年预计10.8万亿元（央广网）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