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290. “银发KOL，夕阳红火”——银发网红的观看偏好与创作变现意愿调查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研究对象：关注银发博主或自己拍短视频的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核心问题/变量：观看偏好（生活/搞笑/养生）、创作意愿、变现认知（带货/打赏）、代际形象感知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H1：观看偏好（生活/搞笑/养生）、创作意愿显著影响代际形象感知（待验证）；H2：不同人群（年龄/收入/城市等级）在上述关系中存在调节作用（待验证）。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🔶银发KOL现象（媒体多次报道）；✅银发人群触网率提升（第50次《中国互联网络发展状况统计报告》：60+网民占比上升🔶）；✅老年网民使用障碍82.9%（第二批已核验）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短视频平台银发用户渠道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🔶银发KOL现象（媒体多次报道）；✅银发人群触网率提升（第50次《中国互联网络发展状况统计报告》：60+网民占比上升🔶）；✅老年网民使用障碍82.9%（第二批已核验）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