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291. “银发网课，老有所学新课堂”——老年在线教育的学习动机与课程满意度研究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研究对象：在学或想报老年大学/老年兴趣班的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核心问题/变量：学习动机（社交/圆梦/防衰）、课程偏好（书画/声乐/手机）、报名难度、费用接受、满意度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H1：学习动机（社交/圆梦/防衰）、课程偏好（书画/声乐/手机）显著影响满意度（待验证）；H2：不同人群（年龄/收入/城市等级）在上述关系中存在调节作用（待验证）。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🔶老年大学"一座难求"（央视等媒体多次报道，需引原文）；✅教育部老年教育政策（背景）；✅银发经济10万亿大盘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老年大学/社区老年学校渠道；与291题（KOL用户端）区分：聚焦线下学习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🔶老年大学"一座难求"（央视等媒体多次报道，需引原文）；✅教育部老年教育政策（背景）；✅银发经济10万亿大盘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