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316. “AI 换脸骗局，银发如何防”——老年人AI换脸拟声诈骗风险认知与识别能力研究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研究对象：60+老人及子女（涉网络使用）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核心问题/变量：AI诈骗知晓（换脸/拟声冒充亲友）、识别能力、遭遇经历、防诈教育需求、子女协助频率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H1：AI诈骗知晓（换脸/拟声冒充亲友）、识别能力显著影响子女协助频率（待验证）；H2：不同人群（年龄/收入/城市等级）在上述关系中存在调节作用（待验证）。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✅2026年AI换脸、拟声冒充亲友诈骗为重点打击对象；✅各地"敬老月"反诈教育：不点陌生链接、不泄露验证码；✅"医保卡停用/中奖"短信均为诈骗（12333核实）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社区反诈课堂/老年大学渠道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✅2026年AI换脸、拟声冒充亲友诈骗为重点打击对象；✅各地"敬老月"反诈教育：不点陌生链接、不泄露验证码；✅"医保卡停用/中奖"短信均为诈骗（12333核实）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