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320. “冷静期，能不能治'银发网购陷阱'”——涉老线上消费“冷静期”制度公众支持度研究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研究对象：关注银发消费的市民及购买过老年用品的人群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核心问题/变量：银发网购踩坑经历、"冷静期"措施知晓、支持度、对平台责任期待、配套建议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H1：银发网购踩坑经历、"冷静期"措施知晓显著影响配套建议（待验证）；H2：不同人群（年龄/收入/城市等级）在上述关系中存在调节作用（待验证）。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✅全国政协委员建议设立涉老线上消费"冷静期"、对涉老AI诈骗从重处罚、平台承担连带责任；✅市场监管总局九起养老领域不正当竞争案例（第八轮证据）；✅适老化销售专区政策（商消费函〔2026〕389号）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线上问卷+社区座谈会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✅全国政协委员建议设立涉老线上消费"冷静期"、对涉老AI诈骗从重处罚、平台承担连带责任；✅市场监管总局九起养老领域不正当竞争案例（第八轮证据）；✅适老化销售专区政策（商消费函〔2026〕389号）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