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329. “大字版，银发友好”——互联网应用适老化改造使用评价与改进建议研究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研究对象：使用长辈模式/大字版的 50+ 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核心问题/变量：改造知晓（长辈模式入口）、使用体验（字体/简化功能）、替代障碍、剩余痛点、改进建议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H1：改造知晓（长辈模式入口）、使用体验（字体/简化功能）显著影响改进建议（待验证）；H2：不同人群（年龄/收入/城市等级）在上述关系中存在调节作用（待验证）。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✅工信部2021年起互联网应用适老化无障碍改造（政策）；✅主流App长辈模式（微信/支付宝/抖音案例）；✅82.9%中老年网民使用障碍（已核验）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✅工信部2021年起互联网应用适老化无障碍改造（政策）；✅主流App长辈模式（微信/支付宝/抖音案例）；✅82.9%中老年网民使用障碍（已核验）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