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宋体" w:hAnsi="宋体" w:eastAsia="宋体"/>
          <w:b/>
          <w:color w:val="6663B2"/>
          <w:sz w:val="30"/>
        </w:rPr>
        <w:t>330. “数字人民币，银发好帮手”——数字人民币适老化功能评价与使用意愿研究</w:t>
      </w:r>
    </w:p>
    <w:p>
      <w:pPr>
        <w:spacing w:after="200"/>
        <w:jc w:val="center"/>
      </w:pPr>
      <w:r>
        <w:rPr>
          <w:rFonts w:ascii="宋体" w:hAnsi="宋体" w:eastAsia="宋体"/>
          <w:b w:val="0"/>
          <w:color w:val="837292"/>
          <w:sz w:val="18"/>
        </w:rPr>
        <w:t>正大杯选题档案 · 选题规范化（呆塔大师兄（微信：a237658765））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一、选题定位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项目类型：市场调查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研究阶段：mid（中期：消费意愿及影响因素）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建议地区：社区（可按省/市细化抽样框）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确定行业：01_银发经济（选择理由：贴合 2025–2026 最新政策/市场/社会趋势，参考来源见下；该方向研究对象与样本渠道明确，可转为问卷/访谈设计，且近三年获奖名单无直接重复题。）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研究对象：使用数字人民币的中老年人及代际家庭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核心问题/变量：数币认知、使用场景（消费/补贴）、适老功能评价（大字/语音/代付）、与现金对比、使用意愿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二、生成假设（待验证）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H1：数币认知、使用场景（消费/补贴）显著影响使用意愿（待验证）；H2：不同人群（年龄/收入/城市等级）在上述关系中存在调节作用（待验证）。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三、选题依据（信息时间范围：2025–2026）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✅数字人民币个人钱包2.3亿个、累计交易16.7万亿元（第十轮证据）；✅数币2.0平衡计息（2026-01-01起）；✅各地试点适老红包/养老助餐场景（湖南/江苏数币案例，第九轮证据）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四、可行性提示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试点城市银行/社区渠道；与242题（数币2.0）区分：聚焦适老功能 可进一步明确抽样框、样本量与问卷/访谈工具，形成完整调研方案。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五、参考来源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✅数字人民币个人钱包2.3亿个、累计交易16.7万亿元（第十轮证据）；✅数币2.0平衡计息（2026-01-01起）；✅各地试点适老红包/养老助餐场景（湖南/江苏数币案例，第九轮证据）</w:t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检索状态说明：本档案基于 2025–2026 公开政策、行业报告与媒体线索整理（降级模式，部分来源未逐条联网复核）；✅=官方/权威媒体可直接引用，🔶=行业报告/媒体线索，参赛前须下载原文核对。近三年获奖黑名单已逐题避重核验。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