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341. “夕阳红也要美美的”——老年美妆消费需求与悦己动机研究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研究对象：60+有护肤/化妆/形象管理习惯的老年人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核心问题/变量：护肤品类（抗皱/美白）、化妆习惯、购买渠道（商场/直播/子女代购）、悦己动机、消费观转变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H1：护肤品类（抗皱/美白）、化妆习惯显著影响消费观转变（待验证）；H2：不同人群（年龄/收入/城市等级）在上述关系中存在调节作用（待验证）。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🔶银发美妆兴起（媒体/行业报告需核验）；✅化妆品市场破1.1万亿（国货57.37%，第九轮证据）；✅银发经济10万亿（央广网）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社区活动/老年大学舞蹈队渠道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🔶银发美妆兴起（媒体/行业报告需核验）；✅化妆品市场破1.1万亿（国货57.37%，第九轮证据）；✅银发经济10万亿（央广网）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