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344. “孝心经济，银发礼物”——子女银发礼物消费行为与决策影响因素研究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 60+ 父母、为其消费的 30—50 岁子女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核心问题/变量：消费项目（体检/旅游/智能设备/保健品）、支出金额、决策影响因素（安全/口碑)、与父母意愿冲突、满意度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H1：消费项目（体检/旅游/智能设备/保健品）、支出金额显著影响满意度（待验证）；H2：不同人群（年龄/收入/城市等级）在上述关系中存在调节作用（待验证）。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🔶"孝心经济"（媒体/电商重阳节数据需核验）；✅银发经济2026年10.8万亿（央广网）；✅适老化产品入以旧换新补贴（第五六轮证据）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线上问卷（30—50岁人群）+社区渠道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🔶"孝心经济"（媒体/电商重阳节数据需核验）；✅银发经济2026年10.8万亿（央广网）；✅适老化产品入以旧换新补贴（第五六轮证据）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