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345. “助浴上门，体面洗澡”——银发上门生活服务需求与价格接受度研究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建议地区：社区（可按省/市细化抽样框）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确定行业：01_银发经济（选择理由：贴合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研究对象：60+老人及家属（有助浴/上门服务需求）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核心问题/变量：助浴需求场景、上门服务知晓、价格接受、安全信任（资质）、服务获取障碍、满意度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H1：助浴需求场景、上门服务知晓显著影响满意度（待验证）；H2：不同人群（年龄/收入/城市等级）在上述关系中存在调节作用（待验证）。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🔶银发助浴服务（媒体"90后助浴师"报道需引原文）；✅居家养老服务4914亿（第五六轮证据）；✅银发服务新职业（人社部新职业目录背景）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养老机构/社区居家养老服务站渠道；与123题（居家养老上门）区分：聚焦细分生活服务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🔶银发助浴服务（媒体"90后助浴师"报道需引原文）；✅居家养老服务4914亿（第五六轮证据）；✅银发服务新职业（人社部新职业目录背景）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