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374. “医养结合，养老院里的中医”——养老机构中医康养服务消费需求与满意度研究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研究对象：入住医养结合/中医院合作养老机构的老人及家庭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核心问题/变量：入住动机、中医服务使用（艾灸/推拿/药膳）、费用承受（月费）、健康改善感知、满意度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住动机、中医服务使用（艾灸/推拿/药膳）（满意度）之间存在可检验的关系，且受群体差异（年龄/收入/地区/身份）调节（待验证）；H2：入住动机、中医服务使用（艾灸/推拿/药膳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✅北京密云区中医医院2026年与3家养老机构合作：免费体检/艾灸推拿穴位贴敷/"一人一方"管理；✅广州、上海中医特色养老机构月费约4800—5100元起；✅"9073"养老格局与医养结合政策背景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养老机构/中医院渠道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✅北京密云区中医医院2026年与3家养老机构合作：免费体检/艾灸推拿穴位贴敷/"一人一方"管理；✅广州、上海中医特色养老机构月费约4800—5100元起；✅"9073"养老格局与医养结合政策背景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