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467. “银发旅游团，诗与远方”——老年旅游团消费意愿与满意度研究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研究对象：参加老年旅游团（或为父母报团的子女）的 55+ 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核心问题/变量：出行频次（邮轮/大巴/专列）、价格接受（低价团vs品质游）、购物店陷阱经历、社交友谊、满意度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出行频次（邮轮/大巴/专列）、价格接受（低价团vs品质游）（满意度）之间存在可检验的关系，且受群体差异（年龄/收入/地区/身份）调节（待验证）；H2：出行频次（邮轮/大巴/专列）、价格接受（低价团vs品质游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🔶老年旅游市场（中国旅游研究院《中国老年旅游发展报告》需下载）；✅银发经济10万亿（央广网）；✅文旅部整治"不合理低价游"（政策）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旅行社银发线/社区渠道；与89题（银发旅游）区分：聚焦团游模式与避坑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🔶老年旅游市场（中国旅游研究院《中国老年旅游发展报告》需下载）；✅银发经济10万亿（央广网）；✅文旅部整治"不合理低价游"（政策）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