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468. “老伴养只猫，银发陪伴”——老年人养宠需求与消费意愿研究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岁以上养宠老人及其子女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核心问题/变量：养宠动机（情感陪伴/空巢缓解）、养宠类型与开销结构（宠物粮、医疗）、子女态度与代付、社区对养宠的包容、健康影响感知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H1：养宠动机（情感陪伴/空巢缓解）、养宠类型与开销结构（宠物粮显著影响健康影响感知（待验证）；H2：不同人群（年龄/收入/城市等级）在上述关系中存在调节作用（待验证）。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🔶银发养宠比例与消费数据（行业报告须下载核验）；✅宠物消费与银发经济政策（已有证据）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宠物医院/社区渠道问卷+子女访谈；与23（宠物养老=宠物变老）区分：聚焦老人养宠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🔶银发养宠比例与消费数据（行业报告须下载核验）；✅宠物消费与银发经济政策（已有证据）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