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495. “银发求职，退而不休”——老年求职、银发就业平台使用意愿与求职渠道偏好研究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研究对象：有再就业意愿的退休人员/超龄劳动者及用工企业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核心问题/变量：再就业动机（收入/价值感）、求职渠道（银发招聘平台/返聘）、岗位类型、年龄歧视感知、权益保障知晓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再就业动机（收入/价值感）、求职渠道（银发招聘平台/返聘）（权益保障知晓）之间存在可检验的关系，且受群体差异（年龄/收入/地区/身份）调节（待验证）；H2：再就业动机（收入/价值感）、求职渠道（银发招聘平台/返聘）是影响权益保障知晓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✅《超龄劳动者权益保障暂行规定》等（第八轮证据）；✅人社部银发招聘活动（媒体🔶）；✅延迟退休政策实施（背景）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银发招聘会/社区就业渠道；与187题（银发再就业）区分：聚焦平台与岗位匹配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✅《超龄劳动者权益保障暂行规定》等（第八轮证据）；✅人社部银发招聘活动（媒体🔶）；✅延迟退休政策实施（背景）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