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524. “银发跑者，健康完赛”——中老年马拉松的参赛动机与复赛意愿研究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研究对象：参加马拉松/健步走等路跑赛事的中老年跑者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核心问题/变量：参赛动机（健康/社交/圆梦）、训练与装备支出、赛事适老服务评价（配速、医疗保障）、健康风险认知、复赛意愿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赛动机（健康/社交/圆梦）、训练与装备支出（复赛意愿）之间存在可检验的关系，且受群体差异（年龄/收入/地区/身份）调节（待验证）；H2：参赛动机（健康/社交/圆梦）、训练与装备支出是影响复赛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✅马拉松赛事管理规范（中国田协文件）；🔶中老年跑者参与数据（赛事报告须下载核验）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赛事现场/跑团问卷+组委会访谈；与085（银发健身）区分：聚焦赛事场景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✅马拉松赛事管理规范（中国田协文件）；🔶中老年跑者参与数据（赛事报告须下载核验）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