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527. “银发艺术团，登台有掌声”——老年艺术团的参与动机与舞台获得感研究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研究对象：参加社区/老年艺术团（合唱、舞蹈、模特队）的老年人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核心问题/变量：艺术团参与动机、排练与演出支出（服装/化妆/道具）、商演/展演机会、子女支持度、舞台获得感与身心健康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艺术团参与动机、排练与演出支出（服装/化妆/道具）（舞台获得感与身心健康）之间存在可检验的关系，且受群体差异（年龄/收入/地区/身份）调节（待验证）；H2：艺术团参与动机、排练与演出支出（服装/化妆/道具）是影响舞台获得感与身心健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🔶老年艺术展演活动报道（媒体须下载核验）；✅老年文化服务政策（文旅部、老龄办）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艺术团/社区渠道问卷+团长访谈；与468（广场舞-已清理）区分：聚焦登台演出形态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🔶老年艺术展演活动报道（媒体须下载核验）；✅老年文化服务政策（文旅部、老龄办）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