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059. “银龄数字，AI 助老”——社区老年人数字化生活服务需求与使用可及性研究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 岁以上城市/乡村老年人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核心问题/变量：数字素养、感知易用性、社会支持、使用意愿、生活改善感知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H1：数字素养、感知易用性（生活改善感知）之间存在可检验的关系，且受群体差异（年龄/收入/地区/身份）调节（待验证）；H2：数字素养、感知易用性是影响生活改善感知的关键因素（待验证）。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