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608. “银发助浴车，上门洗澡”——助浴车上门的服务消费与接受度研究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研究对象：使用或有意愿使用助浴车/上门助浴服务的失能老人家庭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核心问题/变量：老人洗浴困难程度、助浴服务知晓与使用、价格接受度、隐私顾虑、子女代办、服务规范（温度/安全）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人洗浴困难程度、助浴服务知晓与使用（服务规范（温度/安全））之间存在可检验的关系，且受群体差异（年龄/收入/地区/身份）调节（待验证）；H2：老人洗浴困难程度、助浴服务知晓与使用是影响服务规范（温度/安全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🔶助浴服务试点报道（央媒须下载核验）；✅老年人助浴服务政策（民政部）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民政助浴项目渠道+家属访谈；获奖黑名单核对：近三年无上门助浴获奖题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🔶助浴服务试点报道（央媒须下载核验）；✅老年人助浴服务政策（民政部）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