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621. “银发洗脚城，足疗养生新风”——中老年足疗养生消费行为与健康收益感知调查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研究对象：常去足疗/泡脚养生馆的中老年人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核心问题/变量：足疗养生动机（缓解疼痛/社交/习惯）、消费频次与金额、门店选择、健康收益感知、会员卡消费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H1：足疗养生动机（缓解疼痛/社交/习惯）、消费频次与金额显著影响会员卡消费（待验证）；H2：不同人群（年龄/收入/城市等级）在上述关系中存在调节作用（待验证）。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🔶足疗养生行业数据（行业报告须下载核验）；✅健康中国与中医养生政策（卫健委）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养生馆渠道问卷+经营者访谈；获奖黑名单核对：近三年无老年足疗获奖题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🔶足疗养生行业数据（行业报告须下载核验）；✅健康中国与中医养生政策（卫健委）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