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638. “老友记，银发同学会”——老年人聚会社交需求与消费意愿调查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研究对象：经常组织/参加同学会、战友会等聚会的老年人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核心问题/变量：聚会频次与形式（聚餐/旅行/K歌）、人均消费、组织者角色、情感价值（叙旧/排解孤独）、子女支持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H1：聚会频次与形式（聚餐/旅行/K歌）、人均消费显著影响子女支持（待验证）；H2：不同人群（年龄/收入/城市等级）在上述关系中存在调节作用（待验证）。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🔶银发社交消费报道（媒体须下载核验）；✅老龄事业与产业政策（老龄办）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老年社群问卷+餐饮/旅行社渠道；获奖黑名单核对：近三年无银发聚会获奖题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🔶银发社交消费报道（媒体须下载核验）；✅老龄事业与产业政策（老龄办）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