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657. “老年面部护理，银发悦己2.0”——银发女性面部护理需求与院线消费意愿调查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研究对象：做面部护理/买护肤品的55岁以上女性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核心问题/变量：银发护肤认知（悦己/社交）、护理院线消费（面护/祛斑）、产品购买渠道、对“老年妆”观念转变、预算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H1：银发护肤认知（悦己/社交）、护理院线消费（面护/祛斑）显著影响预算（待验证）；H2：不同人群（年龄/收入/城市等级）在上述关系中存在调节作用（待验证）。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🔶银发美妆市场数据（行业报告须下载核验）；✅银发经济政策（国务院办公厅）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美容院渠道+银发社群问卷；获奖黑名单核对：近三年无中老年护肤获奖题（区别于341银发美妆）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🔶银发美妆市场数据（行业报告须下载核验）；✅银发经济政策（国务院办公厅）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