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668. “银发卡拉OK，合纵连横”——中老年KTV欢唱消费动机与数字化点歌适应及持续参与意愿调查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研究对象：常去KTV欢唱的中老年人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核心问题/变量：银发K歌动机（社交/怀旧/解压）、消费时段（白天包场）、费用与消费模式、歌曲偏好、数字化点歌适应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H1：银发K歌动机（社交/怀旧/解压）、消费时段（白天包场）显著影响数字化点歌适应（待验证）；H2：不同人群（年龄/收入/城市等级）在上述关系中存在调节作用（待验证）。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🔶银发KTV消费报道（媒体须下载核验）；✅银发文化消费政策（文旅部）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KTV渠道问卷+经营者访谈；获奖黑名单核对：近三年无银发KTV获奖题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🔶银发KTV消费报道（媒体须下载核验）；✅银发文化消费政策（文旅部）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