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722. “银发园艺，花木养生”——老年人园艺消费动机与健康效益感知研究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研究对象：有养花/种菜爱好的老年人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核心问题/变量：园艺动机（充实/运动/收获）、花木与工具消费、阳台/屋顶种植空间、园艺社群与展示、健康效益感知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H1：园艺动机（充实/运动/收获）、花木与工具消费显著影响健康效益感知（待验证）；H2：不同人群（年龄/收入/城市等级）在上述关系中存在调节作用（待验证）。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🔶银发园艺消费报道（媒体须下载核验）；✅老年健康与银发经济政策（老龄办）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花市/社区问卷+园艺商家访谈；获奖黑名单核对：近三年无银发园艺获奖题（区别于570阳台种菜泛题）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🔶银发园艺消费报道（媒体须下载核验）；✅老年健康与银发经济政策（老龄办）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