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745. “适老家居改造，安享居家”——家庭适老化改造意愿与改造后满意度研究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研究对象：为老人做居家适老化改造的家庭（子女主导）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核心问题/变量：适老改造点位（卫浴/扶手/智能监测）、改造费用与补贴、施工与安全、子女代决策、改造后满意度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改造点位（卫浴/扶手/智能监测）、改造费用与补贴（改造后满意度）之间存在可检验的关系，且受群体差异（年龄/收入/地区/身份）调节（待验证）；H2：适老改造点位（卫浴/扶手/智能监测）、改造费用与补贴是影响改造后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✅居家适老化改造补贴政策（民政部、住建部）；🔶改造行业数据（须下载核验）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改造服务商渠道+子女问卷；获奖黑名单核对：近三年无居家适老改造获奖题（区别于122适老家电）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✅居家适老化改造补贴政策（民政部、住建部）；🔶改造行业数据（须下载核验）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