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793. “适老药品包装，看得清吃得对”——药品适老化包装需求痛点与改进期待研究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研究对象：长期服药的老年人及其家属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核心问题/变量：药品说明阅读困难、包装（大字/色块）需求、分装药盒使用、用药错误经历、药店适老服务、改进期待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H1：药品说明阅读困难、包装（大字/色块）需求显著影响改进期待（待验证）；H2：不同人群（年龄/收入/城市等级）在上述关系中存在调节作用（待验证）。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🔶药品包装适老化倡导（药监局）；🔶老年用药调查数据（须下载核验）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慢病老人家庭问卷+药师访谈；获奖黑名单核对：近三年无适老药包获奖题（区别于523智能药盒）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🔶药品包装适老化倡导（药监局）；🔶老年用药调查数据（须下载核验）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