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805. “老年相亲会，黄昏恋也认真”——中老年相亲服务需求动机与参与意愿研究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研究对象：参加老年相亲活动/婚介服务的单身老人及子女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核心问题/变量：黄昏恋需求动机（陪伴/照料）、相亲会/婚介参与、子女态度（支持/反对）、骗婚防范、财产风险（再婚财产）、满意度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昏恋需求动机（陪伴/照料）、相亲会/婚介参与（满意度）之间存在可检验的关系，且受群体差异（年龄/收入/地区/身份）调节（待验证）；H2：黄昏恋需求动机（陪伴/照料）、相亲会/婚介参与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🔶老年婚恋服务报道（媒体须下载核验）；✅老龄社会服务政策（老龄办）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老年婚介渠道问卷+社区访谈；获奖黑名单核对：近三年无老年相亲获奖题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🔶老年婚恋服务报道（媒体须下载核验）；✅老龄社会服务政策（老龄办）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