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085. “银发健身，活力晚年”——老年人健身康体消费需求与参与研究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研究对象：60岁以上参与健身/广场舞/太极/游泳等活动的老年人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核心问题/变量：参与动机、消费支出（场馆/课程/装备）、健康改善感知、持续意愿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、消费支出（场馆/课程/装备）（持续意愿）之间存在可检验的关系，且受群体差异（年龄/收入/地区/身份）调节（待验证）；H2：参与动机、消费支出（场馆/课程/装备）是影响持续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✅全国60岁以上老年人口超3亿、银发经济政策体系完善（🔶最新人口数据待引用官方口径）；✅体育总局推进老年体育场地设施建设（政策背景）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社区活动中心/老年大学/广场舞团队渠道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✅全国60岁以上老年人口超3亿、银发经济政策体系完善（🔶最新人口数据待引用官方口径）；✅体育总局推进老年体育场地设施建设（政策背景）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