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861. “银发主播，老年网红”——银发网红内容消费偏好与变现方式接受度调查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研究对象：老年网红/银发内容创作者及其观众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核心问题/变量：银发网红内容类型（美食/变装/生活）、观众画像与互动、变现方式（带货/打赏）、老年人数字参与、内容负效应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银发网红内容类型（美食/变装/生活）、观众画像与互动（内容负效应）之间存在可检验的关系，且受群体差异（年龄/收入/地区/身份）调节（待验证）；H2：银发网红内容类型（美食/变装/生活）、观众画像与互动是影响内容负效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🔶老年网红现象报道（媒体须下载核验）；✅老年人数字生活与网络治理（网信办）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银发账号分析+MCN访谈；获奖黑名单核对：近三年无银发网红获奖题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🔶老年网红现象报道（媒体须下载核验）；✅老年人数字生活与网络治理（网信办）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