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089. “银发邮轮，海上慢游”——银发群体邮轮旅游满意度与复游意愿研究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研究对象：60岁以上有旅游经历的老年人（含子女协同决策）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核心问题/变量：旅游偏好、适老需求（节奏/医疗/导服）、消费支出、满意度、复游意愿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H1：旅游偏好、适老需求（节奏/医疗/导服）显著影响复游意愿（待验证）；H2：不同人群（年龄/收入/城市等级）在上述关系中存在调节作用（待验证）。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✅国务院《关于发展银发经济增进老年人福祉的意见》（国办发〔2024〕1号，老年旅游列入重点）；✅银发消费持续扩容（商务部数据，🔶最新数字待核验）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旅行社老年团/社区渠道；与第二批银发AI伴形成"实体+数字"互补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✅国务院《关于发展银发经济增进老年人福祉的意见》（国办发〔2024〕1号，老年旅游列入重点）；✅银发消费持续扩容（商务部数据，🔶最新数字待核验）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