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923. “银发模特队，T台晚年”——中老年人参加模特走秀培训的参与动机及持续投入意愿调查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研究对象：参加老年模特队/形体培训的老年人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核心问题/变量：模特培训参与动机（气质/社交/圆梦）、课程与演出消费、比赛（老年模特大赛）参与、身体自信提升、持续投入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模特培训参与动机（气质/社交/圆梦）、课程与演出消费（持续投入）之间存在可检验的关系，且受群体差异（年龄/收入/地区/身份）调节（待验证）；H2：模特培训参与动机（气质/社交/圆梦）、课程与演出消费是影响持续投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🔶银发文娱产业政策（老龄办、文旅部）；🔶老年模特队报道（须下载核验）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老年模特队问卷+培训机构访谈；获奖黑名单核对：近三年无老年模特获奖题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🔶银发文娱产业政策（老龄办、文旅部）；🔶老年模特队报道（须下载核验）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