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104. “宠物善终，温柔告别”——宠物殡葬服务需求、消费意愿与行业规范感知研究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研究对象：养宠人群（含经历过宠物离世的）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核心问题/变量：殡葬服务知晓度、消费意愿与预算、情感需求（仪式感/纪念）、资质信任、行业规范化诉求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H1：殡葬服务知晓度、消费意愿与预算显著影响行业规范化诉求（待验证）；H2：不同人群（年龄/收入/城市等级）在上述关系中存在调节作用（待验证）。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✅2025年中国宠物殡葬市场规模43.5亿元、年增超34%（AgeClub/华经，🔶）；✅2024年城镇犬猫超2.2亿只；✅相关企业4.73万家、服务机构约860家、行业渗透率仅3.6%（合规设备&lt;2%）（行业报告）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宠物医院/宠物社群渠道；监管痛点自带话题度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✅2025年中国宠物殡葬市场规模43.5亿元、年增超34%（AgeClub/华经，🔶）；✅2024年城镇犬猫超2.2亿只；✅相关企业4.73万家、服务机构约860家、行业渗透率仅3.6%（合规设备&lt;2%）（行业报告）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