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1194. “宠物学校，狗狗上学记”——宠物训练学校（行为矫正）消费研究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确定行业：02_宠物经济（选择理由：贴合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研究对象：送宠物去训练学校（服从/行为矫正）的宠物主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核心问题/变量：宠物行为问题（爆冲/拆家/分离焦虑）、训练学校选择（寄训/亲子课）、费用（数千元/期）、训练效果与复现、家长同训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H1：宠物行为问题（爆冲/拆家/分离焦虑）、训练学校选择（寄训/亲子课）显著影响家长同训（待验证）；H2：不同人群（年龄/收入/城市等级）在上述关系中存在调节作用（待验证）。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🔶宠物行为训练服务规范（行业协会标准）；🔶宠物训练市场数据（须下载核验）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训练学校渠道+宠物主问卷；获奖黑名单核对：近三年无宠物训练学校获奖题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🔶宠物行为训练服务规范（行业协会标准）；🔶宠物训练市场数据（须下载核验）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