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1197. “宠物失业了，情绪价值还在”——宠物情绪价值（情感寄托）消费深化研究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建议地区：农村（可按省/市细化抽样框）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研究对象：将宠物作为情感寄托（单身/独居）的宠物主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核心问题/变量：宠物情感寄托（陪伴/治愈）、宠物周边（情绪安抚）消费、宠物沟通（语言翻译器）、宠物心理服务、情感依赖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H1：宠物情感寄托（陪伴/治愈）、宠物周边（情绪安抚）消费显著影响情感依赖（待验证）；H2：不同人群（年龄/收入/城市等级）在上述关系中存在调节作用（待验证）。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🔶宠物经济与情感消费报告（行业报告须下载核验）；✅动物保护与宠物管理政策（农业农村部）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宠物主问卷+宠物服务商访谈；获奖黑名单核对：近三年无宠物情绪价值获奖题（区别于816宠物仪式感、31情绪消费）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🔶宠物经济与情感消费报告（行业报告须下载核验）；✅动物保护与宠物管理政策（农业农村部）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