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127. “毛孩子也有医保”——宠物保险购买意愿与理赔体验研究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研究对象：养宠人群（犬猫为主）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核心问题/变量：保险认知、购买动机、保费接受度、理赔体验、续保意愿、行业信任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H1：保险认知、购买动机显著影响行业信任（待验证）；H2：不同人群（年龄/收入/城市等级）在上述关系中存在调节作用（待验证）。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宠物险保费2020年约5000万元→2025年30亿—35亿元（五年60倍）；✅2025年城镇犬猫1.26亿只、宠物消费市场3126亿元（《2026年中国宠物行业白皮书》）；✅众安2026H1宠物险保费+22.7%至6.91亿元（新华社）；🔶理赔慢、赔付比例低行业痛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宠物医院/宠物社群+线上问卷；话题热度高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宠物险保费2020年约5000万元→2025年30亿—35亿元（五年60倍）；✅2025年城镇犬猫1.26亿只、宠物消费市场3126亿元（《2026年中国宠物行业白皮书》）；✅众安2026H1宠物险保费+22.7%至6.91亿元（新华社）；🔶理赔慢、赔付比例低行业痛点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