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129. “流浪猫绝育，社区共治”——社区流浪动物TNR救助参与意愿与社区共治认知研究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研究对象：饲养爬宠/异宠的 18—35 岁青年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核心问题/变量：入坑动机（个性/低需求陪伴）、饲养成本、合规认知（野生动物保护）、知识获取、圈层社交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坑动机（个性/低需求陪伴）、饲养成本（圈层社交）之间存在可检验的关系，且受群体差异（年龄/收入/地区/身份）调节（待验证）；H2：入坑动机（个性/低需求陪伴）、饲养成本是影响圈层社交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🔶异宠经济近年在青年中兴起（媒体报道："异宠热"成现象，需引原文）；✅《野生动物保护法》对异宠交易监管（政策背景）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爬宠店/异宠社群/展会渠道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🔶异宠经济近年在青年中兴起（媒体报道："异宠热"成现象，需引原文）；✅《野生动物保护法》对异宠交易监管（政策背景）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