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131. “宠物咖啡，人宠社交”——宠物友好社交空间消费体验与复购意愿研究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研究对象：去过猫咖/狗咖/宠物餐厅的消费者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核心问题/变量：消费动机（撸宠解压/社交）、卫生安全顾虑、门票餐饮消费、满意度、复购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H1：消费动机（撸宠解压/社交）、卫生安全顾虑显著影响复购（待验证）；H2：不同人群（年龄/收入/城市等级）在上述关系中存在调节作用（待验证）。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🔶宠物主题咖啡/友好空间为城市休闲新业态（媒体报道）；✅宠物经济扩容、宠物友好城市建设（政策背景，🔶具体城市文件待核验）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宠物咖啡店/宠物友好商场现场调研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🔶宠物主题咖啡/友好空间为城市休闲新业态（媒体报道）；✅宠物经济扩容、宠物友好城市建设（政策背景，🔶具体城市文件待核验）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