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023. “宠物养老，服务升级”——老年宠物照护与宠物慢病管理服务需求及支付意愿研究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研究对象：养宠 5 年以上、宠物年龄较大的宠物主人。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核心问题/变量：宠物年龄、医疗支出、慢病管理需求、护理服务、支付意愿。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H1：宠物年龄、医疗支出显著影响支付意愿。（待验证）；H2：不同人群（年龄/收入/城市等级）在上述关系中存在调节作用（待验证）。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S9，《2026 年中国宠物行业白皮书》及宠物消费市场报告。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宠物医院、宠物美容店和宠物社群取样。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S9，《2026 年中国宠物行业白皮书》及宠物消费市场报告。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