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024. “宠物友好，城市共居”——宠物友好社区服务满意度与治理需求研究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研究对象：养宠居民、不养宠居民和物业管理者。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核心问题/变量：公共空间冲突、卫生、安全、宠物设施、邻里关系、物业服务满意度。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H1：公共空间冲突、卫生（物业服务满意度。）之间存在可检验的关系，且受群体差异（年龄/收入/地区/身份）调节（待验证）；H2：公共空间冲突、卫生是影响物业服务满意度。的关键因素（待验证）。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S9，宠物经济行业报告；S4，城市公共服务和社会治理政策线索。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选择 3—5 个不同类型社区进行比较。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S9，宠物经济行业报告；S4，城市公共服务和社会治理政策线索。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