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293. “带上毛孩子，一起旅行”——宠物出行场景需求与安全顾虑调查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研究对象：带宠物出行（自驾/酒店/托运）的养宠人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核心问题/变量：出行场景、宠物友好酒店/景区需求、托运服务选择、安全焦虑、消费支出、市场痛点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H1：出行场景、宠物友好酒店/景区需求显著影响市场痛点（待验证）；H2：不同人群（年龄/收入/城市等级）在上述关系中存在调节作用（待验证）。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✅2026年宠物消费市场预计3365亿元（+4.3%，亚宠研究院）；✅宠物服务占市场约10%；🔶宠物友好酒店/宠物托运服务增长（媒体）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宠物社群/宠物友好酒店渠道；与127-132（宠物板块）区分：聚焦出行场景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✅2026年宠物消费市场预计3365亿元（+4.3%，亚宠研究院）；✅宠物服务占市场约10%；🔶宠物友好酒店/宠物托运服务增长（媒体）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