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416. “遛宠地图，毛孩子的公园”——城市遛宠公共空间需求与改进建议研究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建议地区：深圳（可按省/市细化抽样框）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研究对象：养宠家庭（在城市社区生活）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核心问题/变量：遛宠空间需求、宠物友好标识（商场/公园/小区）、排泄物管理矛盾、邻里纠纷、改进建议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遛宠空间需求、宠物友好标识（商场/公园/小区）（改进建议）之间存在可检验的关系，且受群体差异（年龄/收入/地区/身份）调节（待验证）；H2：遛宠空间需求、宠物友好标识（商场/公园/小区）是影响改进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✅宠物消费市场2026年预计3365亿（第十轮证据）；🔶宠物友好城市（"宠物友好"政策深圳等先行城市媒体需核验）；✅《动物防疫法》养犬管理背景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社区养宠群+宠物公园现场；与127-132（宠物经济）区分：聚焦公共空间治理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✅宠物消费市场2026年预计3365亿（第十轮证据）；🔶宠物友好城市（"宠物友好"政策深圳等先行城市媒体需核验）；✅《动物防疫法》养犬管理背景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