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421. “毛孩子的看病账单”——宠物医疗消费行为与诊疗满意度调查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研究对象：带宠物就诊过（体检/疫苗/手术）的养宠人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核心问题/变量：就诊项目与费用、医院选择（连锁vs社区）、药品价格感知、保险使用、诊疗体验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H1：就诊项目与费用、医院选择（连锁vs社区）显著影响诊疗体验（待验证）；H2：不同人群（年龄/收入/城市等级）在上述关系中存在调节作用（待验证）。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✅宠物医疗行业2025年约395亿元→2026年预计424亿元（中商产业研究院）；✅连锁型宠物医院将成主流、宠物药品国产品牌起步；✅医疗占宠物消费市场约26%（亚宠研究院）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宠物医院/养宠社群渠道；与126题（宠物保险）区分：聚焦医疗服务消费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✅宠物医疗行业2025年约395亿元→2026年预计424亿元（中商产业研究院）；✅连锁型宠物医院将成主流、宠物药品国产品牌起步；✅医疗占宠物消费市场约26%（亚宠研究院）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