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423. “异宠时代，小众萌宠”——异宠饲养消费行为与医疗获取痛点调查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研究对象：饲养异宠（非猫犬类）的玩家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核心问题/变量：异宠品类、入坑动机、饲养成本（设备/饲料）、医疗获取障碍、合规认知（野生保护）、社群交流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H1：异宠品类、入坑动机（社群交流）之间存在可检验的关系，且受群体差异（年龄/收入/地区/身份）调节（待验证）；H2：异宠品类、入坑动机是影响社群交流的关键因素（待验证）。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🔶异宠市场（《2026中国宠物行业白皮书》单列异宠板块）；✅宠物市场3126亿大盘（2026白皮书）；✅异宠饲养政策（林业部门野生动物保护法规背景）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异宠社群/爬宠店渠道；选题新颖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🔶异宠市场（《2026中国宠物行业白皮书》单列异宠板块）；✅宠物市场3126亿大盘（2026白皮书）；✅异宠饲养政策（林业部门野生动物保护法规背景）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