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424. “宠物生日会，派对经济”——宠物咖啡馆到店动机与复购意愿调查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研究对象：去过宠物咖啡馆（猫咖/狗咖/兔咖）的消费者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核心问题/变量：到店动机（解压/社交/出片）、收费模式（门票/饮品）、动物福利感知、卫生顾虑、复购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H1：到店动机（解压/社交/出片）、收费模式（门票/饮品）显著影响复购（待验证）；H2：不同人群（年龄/收入/城市等级）在上述关系中存在调节作用（待验证）。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🔶宠物咖啡业态（行业媒体需核验）；✅宠物消费3126亿背景；✅情绪消费与解压经济（已核验）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宠物咖啡馆现场问卷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🔶宠物咖啡业态（行业媒体需核验）；✅宠物消费3126亿背景；✅情绪消费与解压经济（已核验）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