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530. “宠物游泳课，狗刨进阶”——宠物游泳健身服务的需求偏好与消费意愿研究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研究对象：带宠物游泳/去宠物健身房的宠物主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核心问题/变量：宠物游泳（康复/娱乐）动机、课程费用与频次、宠物接受度、与普通遛狗对比、宠物健身（跑步机类）新形态接受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H1：宠物游泳（康复/娱乐）动机、课程费用与频次显著影响宠物健身（跑步机类）新形态接受（待验证）；H2：不同人群（年龄/收入/城市等级）在上述关系中存在调节作用（待验证）。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🔶宠物游泳/健身服务门店报道（本地媒体须下载核验）；✅宠物消费规模数据（已有3126亿证据）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宠物服务门店问卷+店主访谈；区别于130（行为训练）与132（智能用品）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🔶宠物游泳/健身服务门店报道（本地媒体须下载核验）；✅宠物消费规模数据（已有3126亿证据）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